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4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6802"/>
      </w:tblGrid>
      <w:tr w:rsidR="00E800CD" w:rsidRPr="007028D3" w:rsidTr="00865176">
        <w:trPr>
          <w:trHeight w:val="2145"/>
        </w:trPr>
        <w:tc>
          <w:tcPr>
            <w:tcW w:w="2214" w:type="dxa"/>
          </w:tcPr>
          <w:p w:rsidR="00E800CD" w:rsidRPr="007028D3" w:rsidRDefault="00E800CD" w:rsidP="00865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2D4F5936" wp14:editId="581E3C7D">
                  <wp:extent cx="1324610" cy="1276985"/>
                  <wp:effectExtent l="0" t="0" r="8890" b="0"/>
                  <wp:docPr id="8" name="Imag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8" w:type="dxa"/>
          </w:tcPr>
          <w:p w:rsidR="00E800CD" w:rsidRPr="007028D3" w:rsidRDefault="00E800CD" w:rsidP="00865176">
            <w:pPr>
              <w:spacing w:after="60"/>
              <w:ind w:right="2739" w:firstLine="168"/>
              <w:jc w:val="both"/>
              <w:rPr>
                <w:rFonts w:ascii="Arial" w:hAnsi="Arial" w:cs="Arial"/>
                <w:sz w:val="32"/>
                <w:lang w:val="fr-FR"/>
              </w:rPr>
            </w:pPr>
            <w:r w:rsidRPr="007028D3">
              <w:rPr>
                <w:rFonts w:ascii="Arial" w:hAnsi="Arial" w:cs="Arial"/>
                <w:sz w:val="32"/>
                <w:lang w:val="fr-LU"/>
              </w:rPr>
              <w:t>CONSEIL PARLEMENTAIRE INTERREGIONAL</w:t>
            </w:r>
          </w:p>
          <w:p w:rsidR="00E800CD" w:rsidRPr="007028D3" w:rsidRDefault="00E800CD" w:rsidP="00865176">
            <w:pPr>
              <w:spacing w:after="60"/>
              <w:ind w:right="9370" w:firstLine="168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028D3">
              <w:rPr>
                <w:rFonts w:ascii="Arial" w:hAnsi="Arial" w:cs="Arial"/>
                <w:sz w:val="32"/>
                <w:szCs w:val="32"/>
                <w:lang w:val="fr-FR"/>
              </w:rPr>
              <w:t>INTERREGIONALER PARLAMENTARIER-RAT</w:t>
            </w:r>
          </w:p>
          <w:p w:rsidR="00E800CD" w:rsidRPr="007028D3" w:rsidRDefault="00E800CD" w:rsidP="00865176">
            <w:pPr>
              <w:tabs>
                <w:tab w:val="left" w:pos="7538"/>
              </w:tabs>
              <w:spacing w:after="60"/>
              <w:ind w:left="110" w:right="9806"/>
              <w:jc w:val="center"/>
              <w:rPr>
                <w:rFonts w:ascii="Arial" w:hAnsi="Arial" w:cs="Arial"/>
                <w:b/>
                <w:lang w:val="de-LU"/>
              </w:rPr>
            </w:pPr>
            <w:r w:rsidRPr="007028D3">
              <w:rPr>
                <w:rFonts w:ascii="Arial" w:hAnsi="Arial" w:cs="Arial"/>
                <w:b/>
                <w:lang w:val="de-LU"/>
              </w:rPr>
              <w:t>Saarland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-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Lorraine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-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Luxembourg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-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Rheinland-Pfalz</w:t>
            </w:r>
            <w:r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de-LU"/>
              </w:rPr>
              <w:t>-</w:t>
            </w:r>
          </w:p>
          <w:p w:rsidR="00E800CD" w:rsidRPr="007028D3" w:rsidRDefault="00E800CD" w:rsidP="00865176">
            <w:pPr>
              <w:tabs>
                <w:tab w:val="left" w:pos="7538"/>
                <w:tab w:val="left" w:pos="7908"/>
              </w:tabs>
              <w:spacing w:after="60"/>
              <w:ind w:left="470" w:right="9560"/>
              <w:rPr>
                <w:rFonts w:ascii="Arial" w:hAnsi="Arial" w:cs="Arial"/>
                <w:b/>
                <w:lang w:val="fr-FR"/>
              </w:rPr>
            </w:pPr>
            <w:r w:rsidRPr="00AE7C31">
              <w:rPr>
                <w:rFonts w:ascii="Arial" w:hAnsi="Arial" w:cs="Arial"/>
                <w:b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fr-FR"/>
              </w:rPr>
              <w:t>Wallonie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fr-FR"/>
              </w:rPr>
              <w:t>-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fr-FR"/>
              </w:rPr>
              <w:t>Communauté Française de Belgique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7028D3">
              <w:rPr>
                <w:rFonts w:ascii="Arial" w:hAnsi="Arial" w:cs="Arial"/>
                <w:b/>
                <w:lang w:val="fr-FR"/>
              </w:rPr>
              <w:t>-</w:t>
            </w:r>
          </w:p>
          <w:p w:rsidR="00E800CD" w:rsidRPr="007028D3" w:rsidRDefault="00E800CD" w:rsidP="00865176">
            <w:pPr>
              <w:tabs>
                <w:tab w:val="left" w:pos="7538"/>
                <w:tab w:val="left" w:pos="7908"/>
              </w:tabs>
              <w:spacing w:after="60"/>
              <w:ind w:left="470" w:right="98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LU"/>
              </w:rPr>
              <w:t xml:space="preserve"> </w:t>
            </w:r>
            <w:r w:rsidRPr="007028D3">
              <w:rPr>
                <w:rFonts w:ascii="Arial" w:hAnsi="Arial" w:cs="Arial"/>
                <w:b/>
              </w:rPr>
              <w:t>Deutschsprachige Gemeinschaft Belgiens</w:t>
            </w:r>
          </w:p>
          <w:p w:rsidR="00E800CD" w:rsidRPr="007028D3" w:rsidRDefault="00E800CD" w:rsidP="00865176">
            <w:pPr>
              <w:spacing w:before="120" w:after="120"/>
              <w:ind w:left="114" w:right="8267" w:hanging="74"/>
              <w:jc w:val="both"/>
              <w:rPr>
                <w:rFonts w:ascii="Arial" w:hAnsi="Arial" w:cs="Arial"/>
                <w:sz w:val="16"/>
                <w:szCs w:val="16"/>
                <w:lang w:val="de-LU"/>
              </w:rPr>
            </w:pPr>
            <w:r>
              <w:rPr>
                <w:rFonts w:ascii="Arial" w:hAnsi="Arial" w:cs="Arial"/>
                <w:sz w:val="16"/>
                <w:szCs w:val="16"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 xml:space="preserve">23, </w:t>
            </w:r>
            <w:proofErr w:type="spellStart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>rue</w:t>
            </w:r>
            <w:proofErr w:type="spellEnd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 xml:space="preserve"> du </w:t>
            </w:r>
            <w:proofErr w:type="spellStart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>Marché</w:t>
            </w:r>
            <w:proofErr w:type="spellEnd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>-</w:t>
            </w:r>
            <w:proofErr w:type="spellStart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>aux</w:t>
            </w:r>
            <w:proofErr w:type="spellEnd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 xml:space="preserve">-Herbes, L-1728 Luxembourg </w:t>
            </w:r>
            <w:proofErr w:type="spellStart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>Tél</w:t>
            </w:r>
            <w:proofErr w:type="spellEnd"/>
            <w:r w:rsidRPr="007028D3">
              <w:rPr>
                <w:rFonts w:ascii="Arial" w:hAnsi="Arial" w:cs="Arial"/>
                <w:sz w:val="16"/>
                <w:szCs w:val="16"/>
                <w:lang w:val="de-LU"/>
              </w:rPr>
              <w:t xml:space="preserve"> : (352) 466966-1 Fax : (352) 466966-209 </w:t>
            </w:r>
          </w:p>
          <w:p w:rsidR="00E800CD" w:rsidRPr="007028D3" w:rsidRDefault="00E800CD" w:rsidP="00865176">
            <w:pPr>
              <w:ind w:right="888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28D3">
              <w:rPr>
                <w:rFonts w:ascii="Arial" w:hAnsi="Arial" w:cs="Arial"/>
                <w:sz w:val="20"/>
                <w:lang w:val="de-LU"/>
              </w:rPr>
              <w:t xml:space="preserve"> </w:t>
            </w:r>
            <w:r w:rsidRPr="007028D3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</w:tc>
      </w:tr>
      <w:tr w:rsidR="00E800CD" w:rsidRPr="007028D3" w:rsidTr="00865176">
        <w:trPr>
          <w:trHeight w:val="68"/>
        </w:trPr>
        <w:tc>
          <w:tcPr>
            <w:tcW w:w="2214" w:type="dxa"/>
          </w:tcPr>
          <w:p w:rsidR="00E800CD" w:rsidRPr="007028D3" w:rsidRDefault="00E800CD" w:rsidP="008651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8" w:type="dxa"/>
          </w:tcPr>
          <w:p w:rsidR="00E800CD" w:rsidRPr="007028D3" w:rsidRDefault="00E800CD" w:rsidP="00865176">
            <w:pPr>
              <w:ind w:right="2739" w:firstLine="168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:rsidR="00E800CD" w:rsidRPr="007028D3" w:rsidRDefault="00E800CD" w:rsidP="00E800CD">
      <w:pPr>
        <w:ind w:right="-280"/>
        <w:jc w:val="both"/>
        <w:rPr>
          <w:rFonts w:ascii="Arial" w:hAnsi="Arial" w:cs="Arial"/>
          <w:b/>
          <w:lang w:val="fr-FR"/>
        </w:rPr>
      </w:pPr>
    </w:p>
    <w:p w:rsidR="00E800CD" w:rsidRDefault="00E800CD" w:rsidP="00E800CD">
      <w:pPr>
        <w:ind w:right="-280"/>
        <w:jc w:val="center"/>
        <w:rPr>
          <w:b/>
          <w:sz w:val="28"/>
          <w:szCs w:val="28"/>
          <w:lang w:val="de-LU"/>
        </w:rPr>
      </w:pPr>
      <w:r w:rsidRPr="00E020E3">
        <w:rPr>
          <w:b/>
          <w:sz w:val="28"/>
          <w:szCs w:val="28"/>
          <w:lang w:val="de-LU"/>
        </w:rPr>
        <w:t>Empfehlung</w:t>
      </w:r>
    </w:p>
    <w:p w:rsidR="00E800CD" w:rsidRDefault="00E800CD" w:rsidP="00E800CD">
      <w:pPr>
        <w:ind w:right="-280"/>
        <w:jc w:val="center"/>
        <w:rPr>
          <w:b/>
          <w:sz w:val="28"/>
          <w:szCs w:val="28"/>
          <w:lang w:val="de-LU"/>
        </w:rPr>
      </w:pPr>
    </w:p>
    <w:p w:rsidR="00E800CD" w:rsidRDefault="00E800CD" w:rsidP="00E800CD">
      <w:pPr>
        <w:ind w:right="-280"/>
        <w:jc w:val="center"/>
        <w:rPr>
          <w:b/>
          <w:sz w:val="28"/>
          <w:szCs w:val="28"/>
          <w:lang w:val="de-LU"/>
        </w:rPr>
      </w:pPr>
      <w:r>
        <w:rPr>
          <w:b/>
          <w:sz w:val="28"/>
          <w:szCs w:val="28"/>
          <w:lang w:val="de-LU"/>
        </w:rPr>
        <w:t>zur</w:t>
      </w:r>
    </w:p>
    <w:p w:rsidR="00E800CD" w:rsidRDefault="00E800CD" w:rsidP="00E800CD">
      <w:pPr>
        <w:ind w:right="-280"/>
        <w:jc w:val="center"/>
        <w:rPr>
          <w:b/>
          <w:sz w:val="28"/>
          <w:szCs w:val="28"/>
          <w:lang w:val="de-LU"/>
        </w:rPr>
      </w:pPr>
    </w:p>
    <w:p w:rsidR="00E800CD" w:rsidRPr="009333C7" w:rsidRDefault="00E800CD" w:rsidP="00E800CD">
      <w:pPr>
        <w:ind w:right="-280"/>
        <w:jc w:val="center"/>
        <w:rPr>
          <w:b/>
          <w:sz w:val="28"/>
          <w:szCs w:val="28"/>
          <w:u w:val="single"/>
          <w:lang w:val="de-LU"/>
        </w:rPr>
      </w:pPr>
      <w:r w:rsidRPr="009333C7">
        <w:rPr>
          <w:b/>
          <w:sz w:val="28"/>
          <w:szCs w:val="28"/>
          <w:u w:val="single"/>
          <w:lang w:val="de-LU"/>
        </w:rPr>
        <w:t xml:space="preserve"> Trinkwasserwirtschaft in der Großregion</w:t>
      </w:r>
    </w:p>
    <w:p w:rsidR="00E800CD" w:rsidRPr="009333C7" w:rsidRDefault="00E800CD" w:rsidP="00E800CD">
      <w:pPr>
        <w:ind w:right="-280"/>
        <w:jc w:val="center"/>
        <w:rPr>
          <w:b/>
          <w:i/>
          <w:sz w:val="28"/>
          <w:szCs w:val="28"/>
          <w:lang w:val="en-US"/>
        </w:rPr>
      </w:pPr>
    </w:p>
    <w:p w:rsidR="00E800CD" w:rsidRPr="007F4ABD" w:rsidRDefault="00E800CD" w:rsidP="00E800CD">
      <w:pPr>
        <w:ind w:right="-280"/>
        <w:jc w:val="center"/>
        <w:rPr>
          <w:b/>
          <w:i/>
          <w:sz w:val="28"/>
          <w:szCs w:val="28"/>
          <w:lang w:val="de-LU"/>
        </w:rPr>
      </w:pPr>
      <w:r w:rsidRPr="007F4ABD">
        <w:rPr>
          <w:b/>
          <w:i/>
          <w:sz w:val="28"/>
          <w:szCs w:val="28"/>
          <w:lang w:val="de-LU"/>
        </w:rPr>
        <w:t>Für eine besser integrierte Trinkwasserpolitik</w:t>
      </w:r>
    </w:p>
    <w:p w:rsidR="00E800CD" w:rsidRPr="007F4ABD" w:rsidRDefault="00E800CD" w:rsidP="00E800CD">
      <w:pPr>
        <w:ind w:right="-280"/>
        <w:jc w:val="both"/>
        <w:rPr>
          <w:b/>
          <w:lang w:val="de-LU"/>
        </w:rPr>
      </w:pPr>
    </w:p>
    <w:p w:rsidR="00E800CD" w:rsidRPr="007F4ABD" w:rsidRDefault="00E800CD" w:rsidP="00E800CD">
      <w:pPr>
        <w:ind w:right="-280"/>
        <w:jc w:val="both"/>
        <w:rPr>
          <w:b/>
          <w:lang w:val="de-LU"/>
        </w:rPr>
      </w:pPr>
    </w:p>
    <w:p w:rsidR="00E800CD" w:rsidRPr="007F4ABD" w:rsidRDefault="00E800CD" w:rsidP="00E800CD">
      <w:pPr>
        <w:ind w:right="-280"/>
        <w:jc w:val="both"/>
        <w:rPr>
          <w:b/>
          <w:lang w:val="de-LU"/>
        </w:rPr>
      </w:pPr>
    </w:p>
    <w:p w:rsidR="00E800CD" w:rsidRPr="00D54CDB" w:rsidRDefault="00E800CD" w:rsidP="00E800CD">
      <w:pPr>
        <w:ind w:right="-280"/>
        <w:jc w:val="both"/>
        <w:rPr>
          <w:lang w:val="de-LU"/>
        </w:rPr>
      </w:pPr>
      <w:r w:rsidRPr="00D54CDB">
        <w:t xml:space="preserve">Der Interregionale Parlamentarierrat, </w:t>
      </w:r>
      <w:r w:rsidRPr="00D54CDB">
        <w:rPr>
          <w:lang w:val="de-LU"/>
        </w:rPr>
        <w:t>versammelt in seiner Plenarsitzung in Metz am 1. Juni 2012</w:t>
      </w:r>
    </w:p>
    <w:p w:rsidR="00E800CD" w:rsidRPr="00D54CDB" w:rsidRDefault="00E800CD" w:rsidP="00E800CD">
      <w:pPr>
        <w:ind w:right="-280"/>
        <w:jc w:val="both"/>
        <w:rPr>
          <w:lang w:val="de-LU"/>
        </w:rPr>
      </w:pPr>
    </w:p>
    <w:p w:rsidR="00E800CD" w:rsidRPr="00D54CDB" w:rsidRDefault="00E800CD" w:rsidP="00E800CD">
      <w:pPr>
        <w:ind w:right="-280"/>
        <w:jc w:val="both"/>
        <w:rPr>
          <w:lang w:val="de-LU"/>
        </w:rPr>
      </w:pP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 xml:space="preserve">Unterstreicht die Bedeutung des interparlamentarischen Dialogs, der es erlaubt, regelmäßig den Stand und die Perspektiven der grenzüberschreitenden Zusammenarbeit innerhalb der </w:t>
      </w:r>
      <w:r w:rsidRPr="00D54CDB">
        <w:rPr>
          <w:i/>
          <w:lang w:val="de-LU"/>
        </w:rPr>
        <w:t xml:space="preserve">Großregion </w:t>
      </w:r>
      <w:r w:rsidRPr="00D54CDB">
        <w:rPr>
          <w:bCs/>
          <w:i/>
          <w:lang w:val="de-LU"/>
        </w:rPr>
        <w:t>zu thematisieren;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>In der Erwägung, dass</w:t>
      </w:r>
      <w:r w:rsidRPr="00D54CDB">
        <w:rPr>
          <w:i/>
          <w:lang w:val="de-LU"/>
        </w:rPr>
        <w:t xml:space="preserve"> Wasser ein Naturerbe der Großregion darstellt;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 xml:space="preserve">In der Erwägung, dass </w:t>
      </w:r>
      <w:r w:rsidRPr="00D54CDB">
        <w:rPr>
          <w:i/>
        </w:rPr>
        <w:t xml:space="preserve">ein guter </w:t>
      </w:r>
      <w:r w:rsidRPr="00D54CDB">
        <w:rPr>
          <w:bCs/>
          <w:i/>
        </w:rPr>
        <w:t>chemischer</w:t>
      </w:r>
      <w:r w:rsidRPr="00D54CDB">
        <w:rPr>
          <w:i/>
        </w:rPr>
        <w:t xml:space="preserve"> und ökologischer</w:t>
      </w:r>
      <w:r w:rsidRPr="00D54CDB">
        <w:rPr>
          <w:bCs/>
          <w:i/>
        </w:rPr>
        <w:t xml:space="preserve"> Zustand der Gewässer unerlässlich ist für die Trinkwasserversorgung, den Schutz der menschlichen Gesundheit und der biologischen Vielfalt;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 xml:space="preserve">In der Erwägung, dass die Gewässer der Großregion </w:t>
      </w:r>
      <w:r w:rsidRPr="00D54CDB">
        <w:rPr>
          <w:rFonts w:eastAsia="Calibri"/>
          <w:i/>
          <w:lang w:val="de-LU" w:eastAsia="fr-LU"/>
        </w:rPr>
        <w:t>erheblichen</w:t>
      </w:r>
      <w:r w:rsidRPr="00D54CDB">
        <w:rPr>
          <w:bCs/>
          <w:i/>
          <w:lang w:val="de-LU"/>
        </w:rPr>
        <w:t xml:space="preserve"> </w:t>
      </w:r>
      <w:r w:rsidRPr="00D54CDB">
        <w:rPr>
          <w:rFonts w:eastAsia="Calibri"/>
          <w:i/>
          <w:lang w:val="de-LU" w:eastAsia="fr-LU"/>
        </w:rPr>
        <w:t>Belastungen durch Pestizide und andere chemische Verschmutzung, ausgesetzt sind</w:t>
      </w:r>
      <w:r w:rsidRPr="00D54CDB">
        <w:rPr>
          <w:bCs/>
          <w:i/>
          <w:lang w:val="de-LU"/>
        </w:rPr>
        <w:t xml:space="preserve"> und die Partner der </w:t>
      </w:r>
      <w:r w:rsidRPr="00D54CDB">
        <w:rPr>
          <w:i/>
          <w:lang w:val="de-LU"/>
        </w:rPr>
        <w:t xml:space="preserve">Großregion in dieser Hinsicht </w:t>
      </w:r>
      <w:r w:rsidRPr="00D54CDB">
        <w:rPr>
          <w:bCs/>
          <w:i/>
          <w:lang w:val="de-LU"/>
        </w:rPr>
        <w:t xml:space="preserve">besonders </w:t>
      </w:r>
      <w:r w:rsidRPr="00D54CDB">
        <w:rPr>
          <w:bCs/>
          <w:i/>
        </w:rPr>
        <w:t xml:space="preserve">voneinander abhängig </w:t>
      </w:r>
      <w:r w:rsidRPr="00D54CDB">
        <w:rPr>
          <w:bCs/>
          <w:i/>
          <w:lang w:val="de-LU"/>
        </w:rPr>
        <w:t>sind;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 xml:space="preserve">In der Erwägung, dass es weniger kostspieliger ist Wasserressourcen zu schützen, als sie im Nachhinein reinigen zu müssen; 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 xml:space="preserve">In der Erwägung, dass </w:t>
      </w:r>
      <w:r w:rsidRPr="00D54CDB">
        <w:rPr>
          <w:rFonts w:eastAsia="Calibri"/>
          <w:i/>
          <w:lang w:val="de-LU" w:eastAsia="fr-LU"/>
        </w:rPr>
        <w:t>es unter anderem wegen de</w:t>
      </w:r>
      <w:r>
        <w:rPr>
          <w:rFonts w:eastAsia="Calibri"/>
          <w:i/>
          <w:lang w:val="de-LU" w:eastAsia="fr-LU"/>
        </w:rPr>
        <w:t>s</w:t>
      </w:r>
      <w:r w:rsidRPr="00D54CDB">
        <w:rPr>
          <w:rFonts w:eastAsia="Calibri"/>
          <w:i/>
          <w:lang w:val="de-LU" w:eastAsia="fr-LU"/>
        </w:rPr>
        <w:t xml:space="preserve"> </w:t>
      </w:r>
      <w:r w:rsidRPr="00D54CDB">
        <w:rPr>
          <w:i/>
        </w:rPr>
        <w:t xml:space="preserve">sich beschleunigenden Klimawandels </w:t>
      </w:r>
      <w:r w:rsidRPr="00D54CDB">
        <w:rPr>
          <w:rFonts w:eastAsia="Calibri"/>
          <w:i/>
          <w:lang w:val="de-LU" w:eastAsia="fr-LU"/>
        </w:rPr>
        <w:t>einer</w:t>
      </w:r>
      <w:r w:rsidRPr="00D54CDB">
        <w:rPr>
          <w:bCs/>
          <w:i/>
          <w:lang w:val="de-LU"/>
        </w:rPr>
        <w:t xml:space="preserve"> </w:t>
      </w:r>
      <w:r w:rsidRPr="00D54CDB">
        <w:rPr>
          <w:rFonts w:eastAsia="Calibri"/>
          <w:i/>
          <w:lang w:val="de-LU" w:eastAsia="fr-LU"/>
        </w:rPr>
        <w:t xml:space="preserve">nachhaltigen Wasserbewirtschaftung bedarf damit die Grundgewässer </w:t>
      </w:r>
      <w:r>
        <w:rPr>
          <w:rFonts w:eastAsia="Calibri"/>
          <w:i/>
          <w:lang w:val="de-LU" w:eastAsia="fr-LU"/>
        </w:rPr>
        <w:t xml:space="preserve">und Seen </w:t>
      </w:r>
      <w:r w:rsidRPr="00D54CDB">
        <w:rPr>
          <w:rFonts w:eastAsia="Calibri"/>
          <w:i/>
          <w:lang w:val="de-LU" w:eastAsia="fr-LU"/>
        </w:rPr>
        <w:t>nicht auf neue Tiefstände sinken;</w:t>
      </w:r>
      <w:r w:rsidRPr="00D54CDB">
        <w:rPr>
          <w:bCs/>
          <w:i/>
          <w:lang w:val="de-LU"/>
        </w:rPr>
        <w:t xml:space="preserve"> 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rStyle w:val="viewdoc"/>
          <w:bCs/>
          <w:i/>
          <w:lang w:val="de-LU"/>
        </w:rPr>
      </w:pPr>
      <w:r w:rsidRPr="00D54CDB">
        <w:rPr>
          <w:rStyle w:val="viewdoc"/>
          <w:i/>
          <w:lang w:val="de-LU"/>
        </w:rPr>
        <w:t xml:space="preserve">In der </w:t>
      </w:r>
      <w:r w:rsidRPr="00D54CDB">
        <w:rPr>
          <w:bCs/>
          <w:i/>
          <w:lang w:val="de-LU"/>
        </w:rPr>
        <w:t xml:space="preserve">Erwägung, dass Wasserverschwendung </w:t>
      </w:r>
      <w:r>
        <w:rPr>
          <w:bCs/>
          <w:i/>
          <w:lang w:val="de-LU"/>
        </w:rPr>
        <w:t xml:space="preserve">auch </w:t>
      </w:r>
      <w:r w:rsidRPr="00D54CDB">
        <w:rPr>
          <w:bCs/>
          <w:i/>
          <w:lang w:val="de-LU"/>
        </w:rPr>
        <w:t>in wasserreichen Gegenden, in denen Dürreperioden nicht auszuschließen sind, zu einem schwerwiegendem Problem werden können;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>In der Erwägung, dass</w:t>
      </w:r>
      <w:r w:rsidRPr="00D54CDB">
        <w:rPr>
          <w:i/>
          <w:lang w:val="de-LU"/>
        </w:rPr>
        <w:t xml:space="preserve"> eine effiziente Trinkwasserwirtschaft eine nachhaltige Land</w:t>
      </w:r>
      <w:r>
        <w:rPr>
          <w:i/>
          <w:lang w:val="de-LU"/>
        </w:rPr>
        <w:t>- und Boden</w:t>
      </w:r>
      <w:r w:rsidRPr="00D54CDB">
        <w:rPr>
          <w:i/>
          <w:lang w:val="de-LU"/>
        </w:rPr>
        <w:t>nutzung voraussetzt, in der Landwirtschaft, in Siedlungsgebieten, in Industriezonen und bei Infrastrukturentwicklungen;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lastRenderedPageBreak/>
        <w:t xml:space="preserve">In der Erwägung, dass die </w:t>
      </w:r>
      <w:r w:rsidRPr="00D54CDB">
        <w:rPr>
          <w:i/>
          <w:lang w:val="de-LU"/>
        </w:rPr>
        <w:t>Trinkwasser</w:t>
      </w:r>
      <w:r>
        <w:rPr>
          <w:i/>
          <w:lang w:val="de-LU"/>
        </w:rPr>
        <w:t>politik</w:t>
      </w:r>
      <w:r w:rsidRPr="00D54CDB">
        <w:rPr>
          <w:i/>
          <w:lang w:val="de-LU"/>
        </w:rPr>
        <w:t xml:space="preserve"> </w:t>
      </w:r>
      <w:r w:rsidRPr="00D54CDB">
        <w:rPr>
          <w:bCs/>
          <w:i/>
        </w:rPr>
        <w:t>mit vielen Politikbereichen verflochten ist und deren Integration die beste Möglichkeit darstellt, um Nachhaltigkeit im Trinkwasserbereich zu gewährleisten;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rStyle w:val="viewdoc"/>
          <w:i/>
          <w:lang w:val="de-LU"/>
        </w:rPr>
      </w:pPr>
      <w:r w:rsidRPr="00D54CDB">
        <w:rPr>
          <w:rStyle w:val="viewdoc"/>
          <w:i/>
          <w:lang w:val="de-LU"/>
        </w:rPr>
        <w:t xml:space="preserve">In der </w:t>
      </w:r>
      <w:r w:rsidRPr="00D54CDB">
        <w:rPr>
          <w:bCs/>
          <w:i/>
          <w:lang w:val="de-LU"/>
        </w:rPr>
        <w:t xml:space="preserve">Erwägung, dass die Trinkwasserversorgung </w:t>
      </w:r>
      <w:r w:rsidRPr="00D54CDB">
        <w:rPr>
          <w:rStyle w:val="viewdoc"/>
          <w:i/>
          <w:lang w:val="de-LU"/>
        </w:rPr>
        <w:t xml:space="preserve">für die Bürger der Großregion weiterhin den höchsten Qualitäts- und Sicherheitsnormen entsprechen muss; 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i/>
          <w:lang w:val="de-LU"/>
        </w:rPr>
      </w:pPr>
      <w:r w:rsidRPr="00D54CDB">
        <w:rPr>
          <w:bCs/>
          <w:i/>
          <w:lang w:val="de-LU"/>
        </w:rPr>
        <w:t xml:space="preserve">In der Erwägung, dass der Zugang zu qualitativ hochwertigem </w:t>
      </w:r>
      <w:r w:rsidRPr="00D54CDB">
        <w:rPr>
          <w:i/>
          <w:lang w:val="de-LU"/>
        </w:rPr>
        <w:t xml:space="preserve">Wasser zur öffentlichen Gesundheit, </w:t>
      </w:r>
      <w:r>
        <w:rPr>
          <w:i/>
          <w:lang w:val="de-LU"/>
        </w:rPr>
        <w:t xml:space="preserve">zum </w:t>
      </w:r>
      <w:r w:rsidRPr="00D54CDB">
        <w:rPr>
          <w:i/>
          <w:lang w:val="de-LU"/>
        </w:rPr>
        <w:t xml:space="preserve">Wohlstand und </w:t>
      </w:r>
      <w:r>
        <w:rPr>
          <w:i/>
          <w:lang w:val="de-LU"/>
        </w:rPr>
        <w:t xml:space="preserve">zur </w:t>
      </w:r>
      <w:r w:rsidRPr="00D54CDB">
        <w:rPr>
          <w:i/>
          <w:lang w:val="de-LU"/>
        </w:rPr>
        <w:t xml:space="preserve">Armutsminderung beiträgt; 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i/>
          <w:lang w:val="de-LU"/>
        </w:rPr>
      </w:pPr>
      <w:r w:rsidRPr="00D54CDB">
        <w:rPr>
          <w:bCs/>
          <w:i/>
          <w:lang w:val="de-LU"/>
        </w:rPr>
        <w:t xml:space="preserve">In der Erwägung, dass im </w:t>
      </w:r>
      <w:r w:rsidRPr="00D54CDB">
        <w:rPr>
          <w:rStyle w:val="viewdoc"/>
          <w:i/>
          <w:lang w:val="de-LU"/>
        </w:rPr>
        <w:t>Zuge der Finanz- und Wirtschaftskrise, vor allem sozial schwächere Haushalte Probleme mit der Finanzierung von elementaren Lebensgütern haben</w:t>
      </w:r>
      <w:r w:rsidRPr="00D54CDB">
        <w:rPr>
          <w:i/>
          <w:lang w:val="de-LU"/>
        </w:rPr>
        <w:t xml:space="preserve">; 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rStyle w:val="viewdoc"/>
          <w:i/>
          <w:lang w:val="de-LU"/>
        </w:rPr>
      </w:pPr>
      <w:r w:rsidRPr="00D54CDB">
        <w:rPr>
          <w:i/>
          <w:lang w:val="de-LU"/>
        </w:rPr>
        <w:t xml:space="preserve">In der Erwägung, dass Solidarität im Wasserbereich und das Problem des ungleichen Zugangs zu sauberem Wasser </w:t>
      </w:r>
      <w:r>
        <w:rPr>
          <w:i/>
          <w:lang w:val="de-LU"/>
        </w:rPr>
        <w:t xml:space="preserve">im März 2012 </w:t>
      </w:r>
      <w:r w:rsidRPr="00D54CDB">
        <w:rPr>
          <w:i/>
          <w:lang w:val="de-LU"/>
        </w:rPr>
        <w:t xml:space="preserve">beim 6. Weltwasserforum in Marseille am Weltwassertag 2012 ein Schwerpunkt waren und auch </w:t>
      </w:r>
      <w:r>
        <w:rPr>
          <w:i/>
          <w:lang w:val="de-LU"/>
        </w:rPr>
        <w:t>beim</w:t>
      </w:r>
      <w:r w:rsidRPr="00D54CDB">
        <w:rPr>
          <w:i/>
          <w:lang w:val="de-LU"/>
        </w:rPr>
        <w:t xml:space="preserve"> Rio+20</w:t>
      </w:r>
      <w:r>
        <w:rPr>
          <w:i/>
          <w:lang w:val="de-LU"/>
        </w:rPr>
        <w:t xml:space="preserve"> Gipfel </w:t>
      </w:r>
      <w:r w:rsidRPr="00D54CDB">
        <w:rPr>
          <w:i/>
          <w:lang w:val="de-LU"/>
        </w:rPr>
        <w:t>im Mittelpunkt stehen;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i/>
          <w:lang w:val="de-LU"/>
        </w:rPr>
      </w:pPr>
      <w:r w:rsidRPr="00D54CDB">
        <w:rPr>
          <w:bCs/>
          <w:i/>
          <w:lang w:val="de-LU"/>
        </w:rPr>
        <w:t xml:space="preserve">In der Erwägung, dass die </w:t>
      </w:r>
      <w:r w:rsidRPr="00D54CDB">
        <w:rPr>
          <w:rStyle w:val="at4"/>
          <w:i/>
        </w:rPr>
        <w:t xml:space="preserve">Europäische Union seit vielen Jahren an der Verbesserung der Wasserqualität arbeitet und </w:t>
      </w:r>
      <w:r>
        <w:rPr>
          <w:rStyle w:val="at4"/>
          <w:i/>
        </w:rPr>
        <w:t xml:space="preserve">in diesem Bereich </w:t>
      </w:r>
      <w:r w:rsidRPr="00D54CDB">
        <w:rPr>
          <w:rStyle w:val="at4"/>
          <w:i/>
        </w:rPr>
        <w:t xml:space="preserve">ein globales Regelwerk entwickelt hat, insbesondere die </w:t>
      </w:r>
      <w:r w:rsidRPr="00D54CDB">
        <w:rPr>
          <w:bCs/>
          <w:i/>
          <w:lang w:val="de-LU"/>
        </w:rPr>
        <w:t>Wasserrahmenrichtlinie 2000/60/EG, sowie auch die Richtlinie 2008/105/EG über Umweltqualitätsnormen im Bereich der Wasserpolitik und die Richtlinie 2009/90/EG zur Festlegung technischer Spezifikationen für die chemische Analyse und die Überwachung des Gewässerzustands, welche die Mitgliedstaaten verpflichten</w:t>
      </w:r>
      <w:r w:rsidRPr="00D54CDB">
        <w:rPr>
          <w:rFonts w:eastAsia="Calibri"/>
          <w:i/>
          <w:lang w:val="de-LU" w:eastAsia="fr-LU"/>
        </w:rPr>
        <w:t>, alle Gewässer in einen guten ökologischen Zustand zu</w:t>
      </w:r>
      <w:r w:rsidRPr="00D54CDB">
        <w:rPr>
          <w:i/>
          <w:lang w:val="de-LU"/>
        </w:rPr>
        <w:t xml:space="preserve"> </w:t>
      </w:r>
      <w:r w:rsidRPr="00D54CDB">
        <w:rPr>
          <w:rFonts w:eastAsia="Calibri"/>
          <w:i/>
          <w:lang w:val="de-LU" w:eastAsia="fr-LU"/>
        </w:rPr>
        <w:t>überführen;</w:t>
      </w:r>
    </w:p>
    <w:p w:rsidR="00E800CD" w:rsidRPr="00D54CDB" w:rsidRDefault="00E800CD" w:rsidP="00E800CD">
      <w:pPr>
        <w:numPr>
          <w:ilvl w:val="0"/>
          <w:numId w:val="3"/>
        </w:numPr>
        <w:spacing w:after="240"/>
        <w:ind w:right="-278" w:hanging="720"/>
        <w:jc w:val="both"/>
        <w:rPr>
          <w:bCs/>
          <w:i/>
          <w:lang w:val="de-LU"/>
        </w:rPr>
      </w:pPr>
      <w:r w:rsidRPr="00D54CDB">
        <w:rPr>
          <w:bCs/>
          <w:i/>
          <w:lang w:val="de-LU"/>
        </w:rPr>
        <w:t>In der Erwägung, dass die Umsetzung der Wasserrahmenrichtlinie 2000/60/EG noch nicht abgeschlossen ist und die Europäische Kommission am 31. Januar 2012 eine neue Richtlinie zur Änderung der Richtlinien 2000/60/EG und 2008/105/EG in Bezug auf prioritäre Stoffe im Bereich der Wasserpolitik eingereicht hat und bis Ende 2012 ein '</w:t>
      </w:r>
      <w:r>
        <w:rPr>
          <w:bCs/>
          <w:i/>
          <w:lang w:val="de-LU"/>
        </w:rPr>
        <w:t>Konzept</w:t>
      </w:r>
      <w:r w:rsidRPr="00D54CDB">
        <w:rPr>
          <w:bCs/>
          <w:i/>
          <w:lang w:val="de-LU"/>
        </w:rPr>
        <w:t xml:space="preserve"> für den Schutz der europäischen Gewässer'</w:t>
      </w:r>
      <w:r w:rsidRPr="00D54CDB">
        <w:rPr>
          <w:rStyle w:val="viewdoc"/>
          <w:bCs/>
          <w:i/>
          <w:lang w:val="de-LU"/>
        </w:rPr>
        <w:t xml:space="preserve"> vorstellen will, </w:t>
      </w:r>
      <w:r w:rsidRPr="00D54CDB">
        <w:rPr>
          <w:i/>
        </w:rPr>
        <w:t>welches darauf abzielt, qualitativ gutes Wasser in ausreichender Menge für alle legitimen Nutzungen sicherzustellen.</w:t>
      </w:r>
    </w:p>
    <w:p w:rsidR="00E800CD" w:rsidRPr="00D54CDB" w:rsidRDefault="00E800CD" w:rsidP="00E800CD">
      <w:pPr>
        <w:ind w:left="720" w:right="-280"/>
        <w:jc w:val="both"/>
        <w:rPr>
          <w:bCs/>
          <w:i/>
          <w:lang w:val="de-LU"/>
        </w:rPr>
      </w:pPr>
    </w:p>
    <w:p w:rsidR="00E800CD" w:rsidRPr="00D54CDB" w:rsidRDefault="00E800CD" w:rsidP="00E800CD">
      <w:pPr>
        <w:ind w:right="-280" w:hanging="426"/>
        <w:jc w:val="both"/>
        <w:rPr>
          <w:b/>
          <w:lang w:val="de-LU"/>
        </w:rPr>
      </w:pPr>
      <w:r w:rsidRPr="00D54CDB">
        <w:rPr>
          <w:b/>
          <w:lang w:val="de-LU"/>
        </w:rPr>
        <w:t xml:space="preserve"> </w:t>
      </w:r>
      <w:r>
        <w:rPr>
          <w:b/>
          <w:lang w:val="de-LU"/>
        </w:rPr>
        <w:tab/>
      </w:r>
      <w:r w:rsidRPr="00D54CDB">
        <w:rPr>
          <w:b/>
          <w:lang w:val="de-LU"/>
        </w:rPr>
        <w:t>Empfiehlt auf Vorschlag der Kommission 4 „Umwelt und Landwirtschaft“:</w:t>
      </w:r>
    </w:p>
    <w:p w:rsidR="00E800CD" w:rsidRPr="00D54CDB" w:rsidRDefault="00E800CD" w:rsidP="00E800CD">
      <w:pPr>
        <w:ind w:left="720" w:right="-280"/>
        <w:jc w:val="both"/>
        <w:rPr>
          <w:bCs/>
          <w:i/>
          <w:lang w:val="de-LU"/>
        </w:rPr>
      </w:pPr>
    </w:p>
    <w:p w:rsidR="00E800CD" w:rsidRPr="00D54CDB" w:rsidRDefault="00E800CD" w:rsidP="00E800CD">
      <w:pPr>
        <w:ind w:left="720" w:right="-280"/>
        <w:jc w:val="both"/>
        <w:rPr>
          <w:bCs/>
          <w:i/>
          <w:lang w:val="de-LU"/>
        </w:rPr>
      </w:pPr>
    </w:p>
    <w:p w:rsidR="00E800CD" w:rsidRPr="00144537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lang w:val="de-LU"/>
        </w:rPr>
      </w:pPr>
      <w:r>
        <w:t>weiterhin Anstrengungen zu unternehmen um</w:t>
      </w:r>
      <w:r w:rsidRPr="00D54CDB">
        <w:t xml:space="preserve"> die Trinkwasser</w:t>
      </w:r>
      <w:r>
        <w:t>aufbereitungs</w:t>
      </w:r>
      <w:r w:rsidRPr="00D54CDB">
        <w:t>politik</w:t>
      </w:r>
      <w:r w:rsidRPr="00144537">
        <w:rPr>
          <w:rFonts w:eastAsia="Calibri"/>
          <w:lang w:val="de-LU" w:eastAsia="fr-LU"/>
        </w:rPr>
        <w:t xml:space="preserve"> so </w:t>
      </w:r>
      <w:r w:rsidRPr="00D54CDB">
        <w:t>zu verbessern</w:t>
      </w:r>
      <w:r>
        <w:t xml:space="preserve">, dass </w:t>
      </w:r>
      <w:r w:rsidRPr="00144537">
        <w:rPr>
          <w:rFonts w:eastAsia="Calibri"/>
          <w:lang w:val="de-LU" w:eastAsia="fr-LU"/>
        </w:rPr>
        <w:t xml:space="preserve">auch in Zukunft die </w:t>
      </w:r>
      <w:r>
        <w:rPr>
          <w:rFonts w:eastAsia="Calibri"/>
          <w:lang w:val="de-LU" w:eastAsia="fr-LU"/>
        </w:rPr>
        <w:t>P</w:t>
      </w:r>
      <w:proofErr w:type="spellStart"/>
      <w:r>
        <w:t>roduktion</w:t>
      </w:r>
      <w:proofErr w:type="spellEnd"/>
      <w:r>
        <w:t xml:space="preserve"> von </w:t>
      </w:r>
      <w:proofErr w:type="spellStart"/>
      <w:r>
        <w:rPr>
          <w:rFonts w:eastAsia="Calibri"/>
          <w:lang w:val="de-LU" w:eastAsia="fr-LU"/>
        </w:rPr>
        <w:t>Trinkw</w:t>
      </w:r>
      <w:r w:rsidRPr="00D54CDB">
        <w:t>asser</w:t>
      </w:r>
      <w:proofErr w:type="spellEnd"/>
      <w:r>
        <w:t xml:space="preserve"> </w:t>
      </w:r>
      <w:r w:rsidRPr="00144537">
        <w:rPr>
          <w:rFonts w:eastAsia="Calibri"/>
          <w:lang w:val="de-LU" w:eastAsia="fr-LU"/>
        </w:rPr>
        <w:t>den höchsten Qualitäts- und Effizienzstandards</w:t>
      </w:r>
      <w:r w:rsidRPr="00D54CDB">
        <w:t xml:space="preserve"> </w:t>
      </w:r>
      <w:r>
        <w:t xml:space="preserve">entspricht und die </w:t>
      </w:r>
      <w:r w:rsidRPr="00D54CDB">
        <w:t>Trinkwasser</w:t>
      </w:r>
      <w:r>
        <w:t>wirtschaft</w:t>
      </w:r>
      <w:r w:rsidRPr="00D54CDB">
        <w:t xml:space="preserve"> </w:t>
      </w:r>
      <w:r>
        <w:t xml:space="preserve">auf </w:t>
      </w:r>
      <w:r w:rsidRPr="00D54CDB">
        <w:t>eine nachhaltige Wasserverwendung angelegt ist,</w:t>
      </w:r>
      <w:r w:rsidRPr="00144537">
        <w:t xml:space="preserve"> </w:t>
      </w:r>
    </w:p>
    <w:p w:rsidR="00E800CD" w:rsidRPr="00144537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</w:pPr>
      <w:r w:rsidRPr="00D54CDB">
        <w:t>die Gewässerverschmutzung zu senken</w:t>
      </w:r>
      <w:r>
        <w:t xml:space="preserve"> und </w:t>
      </w:r>
      <w:r w:rsidRPr="00144537">
        <w:rPr>
          <w:lang w:val="de-LU"/>
        </w:rPr>
        <w:t>die Bemühungen zur Überwachung des Gehaltes an gefährlichen Schadstoffen in den Gewässern der Großregion insbesondere aufgrund der europäischen Regelungen fortzusetzen</w:t>
      </w:r>
      <w:r>
        <w:t>,</w:t>
      </w:r>
      <w:r w:rsidRPr="00144537">
        <w:rPr>
          <w:rFonts w:eastAsia="Calibri"/>
          <w:lang w:val="de-LU" w:eastAsia="fr-LU"/>
        </w:rPr>
        <w:t xml:space="preserve"> </w:t>
      </w:r>
    </w:p>
    <w:p w:rsidR="00E800CD" w:rsidRPr="00503BC5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rFonts w:eastAsia="Calibri"/>
          <w:lang w:val="de-LU" w:eastAsia="fr-LU"/>
        </w:rPr>
      </w:pPr>
      <w:r>
        <w:rPr>
          <w:lang w:val="de-LU"/>
        </w:rPr>
        <w:t>i</w:t>
      </w:r>
      <w:r w:rsidRPr="00503BC5">
        <w:rPr>
          <w:lang w:val="de-LU"/>
        </w:rPr>
        <w:t>n den landwirtschaftlichen Gebieten die Benutzung von Stickstoffdünger</w:t>
      </w:r>
      <w:r>
        <w:rPr>
          <w:lang w:val="de-LU"/>
        </w:rPr>
        <w:t xml:space="preserve"> und </w:t>
      </w:r>
      <w:r w:rsidRPr="00FF20BF">
        <w:rPr>
          <w:lang w:val="de-LU"/>
        </w:rPr>
        <w:t>Phosphatdüngemittel</w:t>
      </w:r>
      <w:r w:rsidRPr="00503BC5">
        <w:rPr>
          <w:lang w:val="de-LU"/>
        </w:rPr>
        <w:t xml:space="preserve">, die maßgeblich zur Eutrophierung von Gewässer beitragen, sowie den freien Zugang von Vieh zu Gewässern, </w:t>
      </w:r>
      <w:r>
        <w:rPr>
          <w:lang w:val="de-LU"/>
        </w:rPr>
        <w:t>der</w:t>
      </w:r>
      <w:r w:rsidRPr="00503BC5">
        <w:rPr>
          <w:lang w:val="de-LU"/>
        </w:rPr>
        <w:t xml:space="preserve"> dazu </w:t>
      </w:r>
      <w:r>
        <w:rPr>
          <w:lang w:val="de-LU"/>
        </w:rPr>
        <w:t>führt</w:t>
      </w:r>
      <w:r w:rsidRPr="00503BC5">
        <w:rPr>
          <w:lang w:val="de-LU"/>
        </w:rPr>
        <w:t xml:space="preserve"> dass </w:t>
      </w:r>
      <w:proofErr w:type="spellStart"/>
      <w:r>
        <w:rPr>
          <w:lang w:val="de-LU"/>
        </w:rPr>
        <w:t>L</w:t>
      </w:r>
      <w:r w:rsidRPr="00503BC5">
        <w:rPr>
          <w:lang w:val="de-LU"/>
        </w:rPr>
        <w:t>etzere</w:t>
      </w:r>
      <w:proofErr w:type="spellEnd"/>
      <w:r w:rsidRPr="00503BC5">
        <w:rPr>
          <w:lang w:val="de-LU"/>
        </w:rPr>
        <w:t xml:space="preserve"> zusätzlich mit Nitraten und Bakterien verschmutzt werden, strenger zu regulieren</w:t>
      </w:r>
      <w:r>
        <w:rPr>
          <w:lang w:val="de-LU"/>
        </w:rPr>
        <w:t>,</w:t>
      </w:r>
    </w:p>
    <w:p w:rsidR="00E800CD" w:rsidRPr="00D54CDB" w:rsidRDefault="00E800CD" w:rsidP="00E800CD">
      <w:pPr>
        <w:numPr>
          <w:ilvl w:val="0"/>
          <w:numId w:val="2"/>
        </w:numPr>
        <w:spacing w:after="240"/>
        <w:ind w:left="425" w:hanging="425"/>
        <w:jc w:val="both"/>
        <w:rPr>
          <w:lang w:val="de-LU"/>
        </w:rPr>
      </w:pPr>
      <w:r w:rsidRPr="00D54CDB">
        <w:rPr>
          <w:lang w:val="de-LU"/>
        </w:rPr>
        <w:lastRenderedPageBreak/>
        <w:t xml:space="preserve">im Sinne des </w:t>
      </w:r>
      <w:r w:rsidRPr="00D54CDB">
        <w:rPr>
          <w:bCs/>
        </w:rPr>
        <w:t>Vorsorge-</w:t>
      </w:r>
      <w:r w:rsidRPr="00D54CDB">
        <w:rPr>
          <w:lang w:val="de-LU"/>
        </w:rPr>
        <w:t xml:space="preserve"> und Vorsichtsprinzips, auch neuere potenziell für den Menschen giftige und biologisch schwer abbaubare Schadstoffe, wie z.B. </w:t>
      </w:r>
      <w:proofErr w:type="spellStart"/>
      <w:r w:rsidRPr="00D54CDB">
        <w:rPr>
          <w:lang w:val="de-LU"/>
        </w:rPr>
        <w:t>perfluorierte</w:t>
      </w:r>
      <w:proofErr w:type="spellEnd"/>
      <w:r w:rsidRPr="00D54CDB">
        <w:rPr>
          <w:lang w:val="de-LU"/>
        </w:rPr>
        <w:t xml:space="preserve"> Tenside (PFT) in den Blick zu nehmen, 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</w:pPr>
      <w:r w:rsidRPr="00D54CDB">
        <w:t xml:space="preserve">effiziente </w:t>
      </w:r>
      <w:r w:rsidRPr="00D54CDB">
        <w:rPr>
          <w:bCs/>
        </w:rPr>
        <w:t>Kläranlagen</w:t>
      </w:r>
      <w:r>
        <w:rPr>
          <w:bCs/>
        </w:rPr>
        <w:t xml:space="preserve"> besonders in dichten Siedlungs- und Industriegebieten zu errichten</w:t>
      </w:r>
      <w:r w:rsidRPr="00D54CDB">
        <w:rPr>
          <w:bCs/>
        </w:rPr>
        <w:t xml:space="preserve"> </w:t>
      </w:r>
      <w:r>
        <w:rPr>
          <w:bCs/>
        </w:rPr>
        <w:t>und</w:t>
      </w:r>
      <w:r w:rsidRPr="00D54CDB">
        <w:rPr>
          <w:bCs/>
        </w:rPr>
        <w:t xml:space="preserve"> </w:t>
      </w:r>
      <w:r>
        <w:rPr>
          <w:bCs/>
        </w:rPr>
        <w:t>aus</w:t>
      </w:r>
      <w:r w:rsidRPr="00D54CDB">
        <w:rPr>
          <w:bCs/>
        </w:rPr>
        <w:t>zubauen,</w:t>
      </w:r>
      <w:r w:rsidRPr="00D54CDB">
        <w:t xml:space="preserve"> so dass das gebrauchte Wasser in ausreichender Qualität wieder der Umwelt zugeführt wird,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rFonts w:eastAsia="Calibri"/>
          <w:lang w:val="de-LU" w:eastAsia="fr-LU"/>
        </w:rPr>
      </w:pPr>
      <w:r w:rsidRPr="00D54CDB">
        <w:rPr>
          <w:lang w:val="de-LU"/>
        </w:rPr>
        <w:t xml:space="preserve">die </w:t>
      </w:r>
      <w:r>
        <w:t>zuständigen</w:t>
      </w:r>
      <w:r w:rsidRPr="00D54CDB">
        <w:t xml:space="preserve"> </w:t>
      </w:r>
      <w:r w:rsidRPr="00D54CDB">
        <w:rPr>
          <w:lang w:val="de-LU"/>
        </w:rPr>
        <w:t>Behörden zu beauftragen weiterhin in moderne Trinkwasserherstellungs</w:t>
      </w:r>
      <w:r>
        <w:rPr>
          <w:lang w:val="de-LU"/>
        </w:rPr>
        <w:t>verfahren und in die</w:t>
      </w:r>
      <w:r w:rsidRPr="00D54CDB">
        <w:rPr>
          <w:lang w:val="de-LU"/>
        </w:rPr>
        <w:t xml:space="preserve"> </w:t>
      </w:r>
      <w:r>
        <w:rPr>
          <w:lang w:val="de-LU"/>
        </w:rPr>
        <w:t xml:space="preserve">Unterhaltung </w:t>
      </w:r>
      <w:r w:rsidRPr="00D54CDB">
        <w:rPr>
          <w:lang w:val="de-LU"/>
        </w:rPr>
        <w:t xml:space="preserve">der Trinkwasserverteilungssysteme zu investieren, </w:t>
      </w:r>
      <w:r w:rsidRPr="00D54CDB">
        <w:t xml:space="preserve">aber unnötige Maßnahmen zu vermeiden, die die Selbstkosten der Wasserproduktion erhöhen ohne einen beachtlichen qualitativen Mehrwert zu bieten, </w:t>
      </w:r>
    </w:p>
    <w:p w:rsidR="00E800CD" w:rsidRPr="000F15D8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</w:pPr>
      <w:r w:rsidRPr="00D54CDB">
        <w:t>ein besonneneres Verbraucherverhalten</w:t>
      </w:r>
      <w:r w:rsidRPr="00D54CDB">
        <w:rPr>
          <w:rFonts w:eastAsia="Calibri"/>
          <w:lang w:val="de-LU" w:eastAsia="fr-LU"/>
        </w:rPr>
        <w:t xml:space="preserve"> </w:t>
      </w:r>
      <w:r>
        <w:rPr>
          <w:rFonts w:eastAsia="Calibri"/>
          <w:lang w:val="de-LU" w:eastAsia="fr-LU"/>
        </w:rPr>
        <w:t xml:space="preserve">im Wasserbereich zu fördern und </w:t>
      </w:r>
      <w:r w:rsidRPr="00D54CDB">
        <w:rPr>
          <w:rFonts w:eastAsia="Calibri"/>
          <w:lang w:val="de-LU" w:eastAsia="fr-LU"/>
        </w:rPr>
        <w:t>das Prinzip einer r</w:t>
      </w:r>
      <w:r w:rsidRPr="00D54CDB">
        <w:rPr>
          <w:rFonts w:eastAsia="Calibri"/>
          <w:bCs/>
          <w:lang w:val="de-LU" w:eastAsia="fr-LU"/>
        </w:rPr>
        <w:t>essourcenschonenden Großregion zu etablieren</w:t>
      </w:r>
      <w:r>
        <w:rPr>
          <w:rFonts w:eastAsia="Calibri"/>
          <w:bCs/>
          <w:lang w:val="de-LU" w:eastAsia="fr-LU"/>
        </w:rPr>
        <w:t>,</w:t>
      </w:r>
      <w:r w:rsidRPr="00D54CDB">
        <w:rPr>
          <w:rFonts w:eastAsia="Calibri"/>
          <w:bCs/>
          <w:lang w:val="de-LU" w:eastAsia="fr-LU"/>
        </w:rPr>
        <w:t xml:space="preserve"> 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</w:pPr>
      <w:r w:rsidRPr="00D54CDB">
        <w:rPr>
          <w:rFonts w:eastAsia="Calibri"/>
          <w:bCs/>
          <w:lang w:val="de-LU" w:eastAsia="fr-LU"/>
        </w:rPr>
        <w:t xml:space="preserve">die Trinkwassereffizienz auf ein höheres Niveau zu bringen durch die Einführung von neuen </w:t>
      </w:r>
      <w:r w:rsidRPr="00D54CDB">
        <w:t xml:space="preserve">Wassereinsparungstechnologien und durch die progressive Reduzierung von Leckagen in den Wasserverteilungssystemen, </w:t>
      </w:r>
      <w:r>
        <w:t>sowie</w:t>
      </w:r>
      <w:r w:rsidRPr="00D54CDB">
        <w:t xml:space="preserve"> in Privathaushalten</w:t>
      </w:r>
      <w:r>
        <w:t xml:space="preserve">, </w:t>
      </w:r>
      <w:r w:rsidRPr="00D54CDB">
        <w:t xml:space="preserve">Unternehmen </w:t>
      </w:r>
      <w:r>
        <w:t xml:space="preserve">und öffentlichen Gebäuden </w:t>
      </w:r>
      <w:r w:rsidRPr="00D54CDB">
        <w:t>Wassereinsparungsmechanismen zu fördern,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rFonts w:eastAsia="Calibri"/>
          <w:lang w:val="de-LU" w:eastAsia="fr-LU"/>
        </w:rPr>
      </w:pPr>
      <w:r w:rsidRPr="00D54CDB">
        <w:t>ein gesundes</w:t>
      </w:r>
      <w:r w:rsidRPr="00D54CDB">
        <w:rPr>
          <w:bCs/>
        </w:rPr>
        <w:t xml:space="preserve"> </w:t>
      </w:r>
      <w:r>
        <w:rPr>
          <w:bCs/>
        </w:rPr>
        <w:t xml:space="preserve">Land- und </w:t>
      </w:r>
      <w:r w:rsidRPr="00D54CDB">
        <w:rPr>
          <w:bCs/>
        </w:rPr>
        <w:t>Bodenmanagement zu betreiben</w:t>
      </w:r>
      <w:r>
        <w:rPr>
          <w:bCs/>
        </w:rPr>
        <w:t xml:space="preserve">, </w:t>
      </w:r>
      <w:r w:rsidRPr="00D54CDB">
        <w:t xml:space="preserve">Wasserläufe weiterhin zu </w:t>
      </w:r>
      <w:proofErr w:type="spellStart"/>
      <w:r w:rsidRPr="00D54CDB">
        <w:t>renaturieren</w:t>
      </w:r>
      <w:proofErr w:type="spellEnd"/>
      <w:r>
        <w:t>,</w:t>
      </w:r>
      <w:r w:rsidRPr="00D54CDB">
        <w:rPr>
          <w:bCs/>
        </w:rPr>
        <w:t xml:space="preserve"> und </w:t>
      </w:r>
      <w:r>
        <w:rPr>
          <w:bCs/>
        </w:rPr>
        <w:t xml:space="preserve">riskante menschliche Eingriffe in </w:t>
      </w:r>
      <w:r w:rsidRPr="00D54CDB">
        <w:rPr>
          <w:lang w:val="de-LU"/>
        </w:rPr>
        <w:t>Trinkwasserschutzgebieten</w:t>
      </w:r>
      <w:r>
        <w:rPr>
          <w:bCs/>
        </w:rPr>
        <w:t xml:space="preserve"> weitgehend zu vermeiden, wie z.B. hier keine </w:t>
      </w:r>
      <w:r w:rsidRPr="00D54CDB">
        <w:rPr>
          <w:bCs/>
        </w:rPr>
        <w:t xml:space="preserve">geothermische Bohrungen </w:t>
      </w:r>
      <w:r w:rsidRPr="00D54CDB">
        <w:rPr>
          <w:lang w:val="de-LU"/>
        </w:rPr>
        <w:t>durchzuführen</w:t>
      </w:r>
      <w:r w:rsidRPr="00D54CDB">
        <w:t xml:space="preserve"> </w:t>
      </w:r>
      <w:r w:rsidRPr="00D54CDB">
        <w:rPr>
          <w:bCs/>
        </w:rPr>
        <w:t xml:space="preserve">wegen dem </w:t>
      </w:r>
      <w:proofErr w:type="spellStart"/>
      <w:r w:rsidRPr="000F15D8">
        <w:rPr>
          <w:rStyle w:val="Accentuation"/>
          <w:i w:val="0"/>
        </w:rPr>
        <w:t>Leckagerisiko</w:t>
      </w:r>
      <w:proofErr w:type="spellEnd"/>
      <w:r w:rsidRPr="00D54CDB">
        <w:rPr>
          <w:bCs/>
        </w:rPr>
        <w:t xml:space="preserve"> von Heizsystemen und der daraus folgenden Verschmutzungsgefahr des Grundwassers</w:t>
      </w:r>
      <w:r>
        <w:rPr>
          <w:bCs/>
        </w:rPr>
        <w:t>,</w:t>
      </w:r>
      <w:r w:rsidRPr="00D54CDB">
        <w:rPr>
          <w:bCs/>
        </w:rPr>
        <w:t xml:space="preserve"> 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lang w:val="de-LU"/>
        </w:rPr>
      </w:pPr>
      <w:r w:rsidRPr="002121B2">
        <w:rPr>
          <w:lang w:val="de-LU"/>
        </w:rPr>
        <w:t>die Europäischen Institutionen bei der Reform der EU Agrarpolitik für 2014-2020 in ihren Plänen zu unterstützen, Agrarsubventionen an Wassersparmaßnahmen zu bündeln und somit eine Wassersparkultur</w:t>
      </w:r>
      <w:r w:rsidRPr="00D54CDB">
        <w:rPr>
          <w:lang w:val="de-LU"/>
        </w:rPr>
        <w:t xml:space="preserve"> </w:t>
      </w:r>
      <w:r w:rsidRPr="00D54CDB">
        <w:rPr>
          <w:rStyle w:val="st"/>
        </w:rPr>
        <w:t>kohärent zu fördern</w:t>
      </w:r>
      <w:r w:rsidRPr="002121B2">
        <w:rPr>
          <w:rStyle w:val="st"/>
          <w:lang w:val="de-LU"/>
        </w:rPr>
        <w:t>,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lang w:val="de-LU"/>
        </w:rPr>
      </w:pPr>
      <w:r w:rsidRPr="00D54CDB">
        <w:t xml:space="preserve">dass bei steigenden Wasserpreisen die </w:t>
      </w:r>
      <w:r>
        <w:t>zuständigen</w:t>
      </w:r>
      <w:r w:rsidRPr="00D54CDB">
        <w:t xml:space="preserve"> Behörden </w:t>
      </w:r>
      <w:r w:rsidRPr="00D54CDB">
        <w:rPr>
          <w:iCs/>
        </w:rPr>
        <w:t>die nötigen Schritte unternehmen</w:t>
      </w:r>
      <w:r>
        <w:t xml:space="preserve">, </w:t>
      </w:r>
      <w:r w:rsidRPr="00D54CDB">
        <w:rPr>
          <w:iCs/>
        </w:rPr>
        <w:t xml:space="preserve">im Einklang mit bestehendem europäischen Recht, </w:t>
      </w:r>
      <w:r>
        <w:rPr>
          <w:iCs/>
        </w:rPr>
        <w:t>damit</w:t>
      </w:r>
      <w:r w:rsidRPr="00D54CDB">
        <w:rPr>
          <w:iCs/>
        </w:rPr>
        <w:t xml:space="preserve"> alle Bürger ihr Recht auf Wasser weiterhin geltend machen können, </w:t>
      </w:r>
      <w:r w:rsidRPr="00D54CDB">
        <w:t>da die Trinkwasserwirtschaft nur dann nachhaltig sein kann wenn sie auch sozial gerecht ist</w:t>
      </w:r>
      <w:r>
        <w:t>,</w:t>
      </w:r>
    </w:p>
    <w:p w:rsidR="00E800CD" w:rsidRPr="00D54CDB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rFonts w:eastAsia="Calibri"/>
          <w:lang w:val="de-LU" w:eastAsia="fr-LU"/>
        </w:rPr>
      </w:pPr>
      <w:r w:rsidRPr="00D54CDB">
        <w:rPr>
          <w:rFonts w:eastAsia="Calibri"/>
          <w:lang w:val="de-LU" w:eastAsia="fr-LU"/>
        </w:rPr>
        <w:t xml:space="preserve">dass die Ziele der Wasserrahmenrichtlinie bis zum Jahr 2015 einen „guten Zustand“ für alle Oberflächengewässer und Grundwasser in Europa zu erzielen überall in der Großregion rechtzeitig erreicht werden und Bewirtschaftungspläne </w:t>
      </w:r>
      <w:r>
        <w:rPr>
          <w:rFonts w:eastAsia="Calibri"/>
          <w:lang w:val="de-LU" w:eastAsia="fr-LU"/>
        </w:rPr>
        <w:t xml:space="preserve">der Wasserzonen </w:t>
      </w:r>
      <w:r w:rsidRPr="00D54CDB">
        <w:rPr>
          <w:rFonts w:eastAsia="Calibri"/>
          <w:lang w:val="de-LU" w:eastAsia="fr-LU"/>
        </w:rPr>
        <w:t>so auszuarbeiten,</w:t>
      </w:r>
      <w:r>
        <w:rPr>
          <w:rFonts w:eastAsia="Calibri"/>
          <w:lang w:val="de-LU" w:eastAsia="fr-LU"/>
        </w:rPr>
        <w:t xml:space="preserve"> </w:t>
      </w:r>
      <w:r w:rsidRPr="00D54CDB">
        <w:rPr>
          <w:rFonts w:eastAsia="Calibri"/>
          <w:lang w:val="de-LU" w:eastAsia="fr-LU"/>
        </w:rPr>
        <w:t xml:space="preserve">dass der gute chemische Zustand und das ökologische Potenzial aller </w:t>
      </w:r>
      <w:r>
        <w:rPr>
          <w:rFonts w:eastAsia="Calibri"/>
          <w:lang w:val="de-LU" w:eastAsia="fr-LU"/>
        </w:rPr>
        <w:t xml:space="preserve">natürlichen und künstlichen </w:t>
      </w:r>
      <w:r w:rsidRPr="00D54CDB">
        <w:rPr>
          <w:rFonts w:eastAsia="Calibri"/>
          <w:lang w:val="de-LU" w:eastAsia="fr-LU"/>
        </w:rPr>
        <w:t>Wasserkörper gewährleistet werden kann</w:t>
      </w:r>
      <w:r>
        <w:rPr>
          <w:rFonts w:eastAsia="Calibri"/>
          <w:lang w:val="de-LU" w:eastAsia="fr-LU"/>
        </w:rPr>
        <w:t>,</w:t>
      </w:r>
    </w:p>
    <w:p w:rsidR="00E800CD" w:rsidRPr="00D54CDB" w:rsidRDefault="00E800CD" w:rsidP="00E800CD">
      <w:pPr>
        <w:numPr>
          <w:ilvl w:val="0"/>
          <w:numId w:val="2"/>
        </w:numPr>
        <w:spacing w:after="240"/>
        <w:ind w:left="425" w:hanging="425"/>
        <w:jc w:val="both"/>
        <w:rPr>
          <w:lang w:val="de-LU"/>
        </w:rPr>
      </w:pPr>
      <w:r w:rsidRPr="00D54CDB">
        <w:rPr>
          <w:lang w:val="de-LU"/>
        </w:rPr>
        <w:t xml:space="preserve">den Informationsaustausch und die Meldepflicht </w:t>
      </w:r>
      <w:r>
        <w:rPr>
          <w:lang w:val="de-LU"/>
        </w:rPr>
        <w:t xml:space="preserve">von </w:t>
      </w:r>
      <w:r w:rsidRPr="00D54CDB">
        <w:rPr>
          <w:lang w:val="de-LU"/>
        </w:rPr>
        <w:t>grenzüberschreitende</w:t>
      </w:r>
      <w:r>
        <w:rPr>
          <w:lang w:val="de-LU"/>
        </w:rPr>
        <w:t>r</w:t>
      </w:r>
      <w:r w:rsidRPr="00D54CDB">
        <w:rPr>
          <w:lang w:val="de-LU"/>
        </w:rPr>
        <w:t xml:space="preserve"> Verschmutzung</w:t>
      </w:r>
      <w:r>
        <w:rPr>
          <w:lang w:val="de-LU"/>
        </w:rPr>
        <w:t xml:space="preserve"> von Gewässern</w:t>
      </w:r>
      <w:r w:rsidRPr="00D54CDB">
        <w:rPr>
          <w:lang w:val="de-LU"/>
        </w:rPr>
        <w:t xml:space="preserve"> zwischen den zuständigen Behörden in der Großregion zu vertiefen </w:t>
      </w:r>
      <w:r>
        <w:rPr>
          <w:lang w:val="de-LU"/>
        </w:rPr>
        <w:t>und in dieser Hinsicht</w:t>
      </w:r>
      <w:r w:rsidRPr="00D54CDB">
        <w:rPr>
          <w:lang w:val="de-LU"/>
        </w:rPr>
        <w:t xml:space="preserve"> auch benachbarte Regionen und Länder in Anhörungen zur Trinkwasserproblematik einzubeziehen</w:t>
      </w:r>
      <w:r>
        <w:rPr>
          <w:lang w:val="de-LU"/>
        </w:rPr>
        <w:t>,</w:t>
      </w:r>
      <w:r w:rsidRPr="00D54CDB">
        <w:rPr>
          <w:lang w:val="de-LU"/>
        </w:rPr>
        <w:t xml:space="preserve"> sowie die </w:t>
      </w:r>
      <w:r w:rsidRPr="00D54CDB">
        <w:t>Bürgerbeteiligung auf großregionaler Ebene auszubauen,</w:t>
      </w:r>
    </w:p>
    <w:p w:rsidR="00E800CD" w:rsidRPr="002121B2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bCs/>
          <w:lang w:val="de-LU"/>
        </w:rPr>
      </w:pPr>
      <w:r>
        <w:rPr>
          <w:lang w:val="de-LU"/>
        </w:rPr>
        <w:t>dafür</w:t>
      </w:r>
      <w:r w:rsidRPr="002121B2">
        <w:rPr>
          <w:lang w:val="de-LU"/>
        </w:rPr>
        <w:t xml:space="preserve"> zu sorgen</w:t>
      </w:r>
      <w:r>
        <w:rPr>
          <w:lang w:val="de-LU"/>
        </w:rPr>
        <w:t>,</w:t>
      </w:r>
      <w:r w:rsidRPr="002121B2">
        <w:rPr>
          <w:lang w:val="de-LU"/>
        </w:rPr>
        <w:t xml:space="preserve"> dass alle zuständigen Behörden auf der europäischen, nationalen und regionalen Ebene </w:t>
      </w:r>
      <w:r>
        <w:rPr>
          <w:lang w:val="de-LU"/>
        </w:rPr>
        <w:t xml:space="preserve">effizient </w:t>
      </w:r>
      <w:r w:rsidRPr="002121B2">
        <w:rPr>
          <w:lang w:val="de-LU"/>
        </w:rPr>
        <w:t xml:space="preserve">zusammenarbeiten und dass die </w:t>
      </w:r>
      <w:r>
        <w:rPr>
          <w:lang w:val="de-LU"/>
        </w:rPr>
        <w:t>für</w:t>
      </w:r>
      <w:r w:rsidRPr="002121B2">
        <w:rPr>
          <w:lang w:val="de-LU"/>
        </w:rPr>
        <w:t xml:space="preserve"> verschiedene</w:t>
      </w:r>
      <w:r>
        <w:rPr>
          <w:lang w:val="de-LU"/>
        </w:rPr>
        <w:t>, aber zusammenhängende</w:t>
      </w:r>
      <w:r w:rsidRPr="002121B2">
        <w:rPr>
          <w:lang w:val="de-LU"/>
        </w:rPr>
        <w:t xml:space="preserve"> Politikfelder zuständigen Akteure </w:t>
      </w:r>
      <w:r>
        <w:rPr>
          <w:lang w:val="de-LU"/>
        </w:rPr>
        <w:t>u.a. in den</w:t>
      </w:r>
      <w:r w:rsidRPr="002121B2">
        <w:rPr>
          <w:lang w:val="de-LU"/>
        </w:rPr>
        <w:t xml:space="preserve"> Umwelt-, Agrar- und Wirtschaftsbereich</w:t>
      </w:r>
      <w:r>
        <w:rPr>
          <w:lang w:val="de-LU"/>
        </w:rPr>
        <w:t>en</w:t>
      </w:r>
      <w:r w:rsidRPr="002121B2">
        <w:rPr>
          <w:lang w:val="de-LU"/>
        </w:rPr>
        <w:t xml:space="preserve"> sich auf allen Ebenen effizienter koordinieren</w:t>
      </w:r>
      <w:r>
        <w:rPr>
          <w:lang w:val="de-LU"/>
        </w:rPr>
        <w:t>,</w:t>
      </w:r>
      <w:r w:rsidRPr="002121B2">
        <w:rPr>
          <w:lang w:val="de-LU"/>
        </w:rPr>
        <w:t xml:space="preserve"> </w:t>
      </w:r>
    </w:p>
    <w:p w:rsidR="00E800CD" w:rsidRDefault="00E800CD" w:rsidP="00E800C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jc w:val="both"/>
        <w:rPr>
          <w:lang w:val="de-LU"/>
        </w:rPr>
      </w:pPr>
      <w:r w:rsidRPr="00D54CDB">
        <w:rPr>
          <w:lang w:val="de-LU"/>
        </w:rPr>
        <w:lastRenderedPageBreak/>
        <w:t xml:space="preserve">die Reglementierung um eventuelle giftige Stoffe zu erweitern und die Europäische Kommission in </w:t>
      </w:r>
      <w:r>
        <w:rPr>
          <w:lang w:val="de-LU"/>
        </w:rPr>
        <w:t>i</w:t>
      </w:r>
      <w:r w:rsidRPr="00D54CDB">
        <w:rPr>
          <w:lang w:val="de-LU"/>
        </w:rPr>
        <w:t xml:space="preserve">hrem Vorschlag zu unterstützen in der neuen Richtlinie zur Änderung der Richtlinien 2000/60/EG und 2008/105/EG in Bezug auf prioritäre Stoffe im Bereich der Wasserpolitik (31.01.2012) weitere chemische und pharmazeutische Schadstoffe die nicht nur aus der </w:t>
      </w:r>
      <w:r>
        <w:rPr>
          <w:lang w:val="de-LU"/>
        </w:rPr>
        <w:t>Industriep</w:t>
      </w:r>
      <w:r w:rsidRPr="00D54CDB">
        <w:rPr>
          <w:lang w:val="de-LU"/>
        </w:rPr>
        <w:t xml:space="preserve">roduktion stammen, sondern auch </w:t>
      </w:r>
      <w:r>
        <w:rPr>
          <w:lang w:val="de-LU"/>
        </w:rPr>
        <w:t xml:space="preserve">z.B. </w:t>
      </w:r>
      <w:r w:rsidRPr="00D54CDB">
        <w:rPr>
          <w:lang w:val="de-LU"/>
        </w:rPr>
        <w:t>aus Haushalten und von Putzmitteln kommen</w:t>
      </w:r>
      <w:r>
        <w:rPr>
          <w:lang w:val="de-LU"/>
        </w:rPr>
        <w:t>,</w:t>
      </w:r>
      <w:r w:rsidRPr="00D54CDB">
        <w:rPr>
          <w:lang w:val="de-LU"/>
        </w:rPr>
        <w:t xml:space="preserve"> zu verbiete</w:t>
      </w:r>
      <w:r>
        <w:rPr>
          <w:lang w:val="de-LU"/>
        </w:rPr>
        <w:t xml:space="preserve">n so dass Gefahren für Menschen, </w:t>
      </w:r>
      <w:r w:rsidRPr="00D54CDB">
        <w:rPr>
          <w:lang w:val="de-LU"/>
        </w:rPr>
        <w:t>Wasserlebewesen</w:t>
      </w:r>
      <w:r>
        <w:rPr>
          <w:lang w:val="de-LU"/>
        </w:rPr>
        <w:t>, Umwelt</w:t>
      </w:r>
      <w:r w:rsidRPr="00D54CDB">
        <w:rPr>
          <w:lang w:val="de-LU"/>
        </w:rPr>
        <w:t xml:space="preserve"> </w:t>
      </w:r>
      <w:r>
        <w:rPr>
          <w:lang w:val="de-LU"/>
        </w:rPr>
        <w:t xml:space="preserve">und insbesondere Trinkwasserressourcen </w:t>
      </w:r>
      <w:r w:rsidRPr="00D54CDB">
        <w:rPr>
          <w:lang w:val="de-LU"/>
        </w:rPr>
        <w:t>weiterhin entschärft werden</w:t>
      </w:r>
      <w:r>
        <w:rPr>
          <w:lang w:val="de-LU"/>
        </w:rPr>
        <w:t>.</w:t>
      </w:r>
      <w:r w:rsidRPr="00D54CDB">
        <w:rPr>
          <w:lang w:val="de-LU"/>
        </w:rPr>
        <w:t xml:space="preserve"> </w:t>
      </w:r>
    </w:p>
    <w:p w:rsidR="00E800CD" w:rsidRPr="00D54CDB" w:rsidRDefault="00E800CD" w:rsidP="00E800CD">
      <w:pPr>
        <w:autoSpaceDE w:val="0"/>
        <w:autoSpaceDN w:val="0"/>
        <w:adjustRightInd w:val="0"/>
        <w:spacing w:after="240"/>
        <w:ind w:left="425"/>
        <w:jc w:val="both"/>
        <w:rPr>
          <w:lang w:val="de-LU"/>
        </w:rPr>
      </w:pPr>
    </w:p>
    <w:p w:rsidR="00E800CD" w:rsidRPr="006342C6" w:rsidRDefault="00E800CD" w:rsidP="00E800CD">
      <w:pPr>
        <w:autoSpaceDE w:val="0"/>
        <w:autoSpaceDN w:val="0"/>
        <w:adjustRightInd w:val="0"/>
        <w:ind w:left="720"/>
        <w:rPr>
          <w:rFonts w:cs="Myriad Pro Light"/>
          <w:color w:val="000000"/>
          <w:lang w:val="de-LU"/>
        </w:rPr>
      </w:pPr>
    </w:p>
    <w:p w:rsidR="00E800CD" w:rsidRPr="00D54CDB" w:rsidRDefault="00E800CD" w:rsidP="00E800CD">
      <w:pPr>
        <w:spacing w:line="480" w:lineRule="auto"/>
      </w:pPr>
      <w:r w:rsidRPr="00D54CDB">
        <w:t>Der Interregionale Parlamentarier</w:t>
      </w:r>
      <w:r>
        <w:t>rat richtet diese Empfehlung an</w:t>
      </w: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fr-FR"/>
        </w:rPr>
      </w:pPr>
      <w:r w:rsidRPr="00D54CDB">
        <w:rPr>
          <w:lang w:val="fr-FR"/>
        </w:rPr>
        <w:t>den Conseil Régional de Lorraine</w:t>
      </w:r>
    </w:p>
    <w:p w:rsidR="00E800CD" w:rsidRPr="00D54CDB" w:rsidRDefault="00E800CD" w:rsidP="00E800CD">
      <w:pPr>
        <w:numPr>
          <w:ilvl w:val="0"/>
          <w:numId w:val="1"/>
        </w:numPr>
        <w:spacing w:line="360" w:lineRule="auto"/>
      </w:pPr>
      <w:r w:rsidRPr="00D54CDB">
        <w:t>die Landesregierung des Saarlandes</w:t>
      </w:r>
    </w:p>
    <w:p w:rsidR="00E800CD" w:rsidRPr="00D54CDB" w:rsidRDefault="00E800CD" w:rsidP="00E800CD">
      <w:pPr>
        <w:numPr>
          <w:ilvl w:val="0"/>
          <w:numId w:val="1"/>
        </w:numPr>
        <w:spacing w:line="360" w:lineRule="auto"/>
      </w:pPr>
      <w:r w:rsidRPr="00D54CDB">
        <w:t>die Landesregierung von Rheinland-Pfalz</w:t>
      </w:r>
    </w:p>
    <w:p w:rsidR="00E800CD" w:rsidRPr="00D54CDB" w:rsidRDefault="00E800CD" w:rsidP="00E800CD">
      <w:pPr>
        <w:numPr>
          <w:ilvl w:val="0"/>
          <w:numId w:val="1"/>
        </w:numPr>
        <w:spacing w:line="360" w:lineRule="auto"/>
      </w:pPr>
      <w:r w:rsidRPr="00D54CDB">
        <w:t>die Regierung der Deutschsprachigen Gemeinschaft Belgiens</w:t>
      </w:r>
    </w:p>
    <w:p w:rsidR="00E800CD" w:rsidRDefault="00E800CD" w:rsidP="00E800CD">
      <w:pPr>
        <w:numPr>
          <w:ilvl w:val="0"/>
          <w:numId w:val="1"/>
        </w:numPr>
        <w:spacing w:line="360" w:lineRule="auto"/>
      </w:pPr>
      <w:r w:rsidRPr="00D54CDB">
        <w:t xml:space="preserve">die Regierung der </w:t>
      </w:r>
      <w:r>
        <w:t xml:space="preserve">Föderation </w:t>
      </w:r>
      <w:proofErr w:type="spellStart"/>
      <w:r>
        <w:t>Wallonie</w:t>
      </w:r>
      <w:proofErr w:type="spellEnd"/>
      <w:r>
        <w:t>-Bruxelles</w:t>
      </w:r>
    </w:p>
    <w:p w:rsidR="00E800CD" w:rsidRDefault="00E800CD" w:rsidP="00E800CD">
      <w:pPr>
        <w:numPr>
          <w:ilvl w:val="0"/>
          <w:numId w:val="1"/>
        </w:numPr>
        <w:spacing w:line="360" w:lineRule="auto"/>
      </w:pPr>
      <w:r w:rsidRPr="00D54CDB">
        <w:t xml:space="preserve">die Regierung der </w:t>
      </w:r>
      <w:proofErr w:type="spellStart"/>
      <w:r w:rsidRPr="00D54CDB">
        <w:t>Wallonie</w:t>
      </w:r>
      <w:proofErr w:type="spellEnd"/>
    </w:p>
    <w:p w:rsidR="00E800CD" w:rsidRPr="00D54CDB" w:rsidRDefault="00E800CD" w:rsidP="00E800CD">
      <w:pPr>
        <w:numPr>
          <w:ilvl w:val="0"/>
          <w:numId w:val="1"/>
        </w:numPr>
        <w:spacing w:line="360" w:lineRule="auto"/>
      </w:pPr>
      <w:r w:rsidRPr="00D54CDB">
        <w:t>die Regierung des Großherzogtums Luxemburg</w:t>
      </w:r>
    </w:p>
    <w:p w:rsidR="00E800CD" w:rsidRPr="00916BAC" w:rsidRDefault="00E800CD" w:rsidP="00E800CD">
      <w:pPr>
        <w:spacing w:line="360" w:lineRule="auto"/>
        <w:ind w:right="-1985"/>
        <w:jc w:val="both"/>
        <w:rPr>
          <w:lang w:val="de-LU"/>
        </w:rPr>
      </w:pPr>
    </w:p>
    <w:p w:rsidR="00E800CD" w:rsidRPr="00D216B6" w:rsidRDefault="00E800CD" w:rsidP="00E800CD">
      <w:pPr>
        <w:spacing w:line="360" w:lineRule="auto"/>
        <w:ind w:left="360" w:right="-1985"/>
        <w:jc w:val="both"/>
        <w:rPr>
          <w:lang w:val="fr-FR"/>
        </w:rPr>
      </w:pPr>
      <w:proofErr w:type="spellStart"/>
      <w:r w:rsidRPr="00D216B6">
        <w:rPr>
          <w:lang w:val="fr-FR"/>
        </w:rPr>
        <w:t>und</w:t>
      </w:r>
      <w:proofErr w:type="spellEnd"/>
      <w:r w:rsidRPr="00D216B6">
        <w:rPr>
          <w:lang w:val="fr-FR"/>
        </w:rPr>
        <w:t xml:space="preserve"> </w:t>
      </w:r>
      <w:proofErr w:type="spellStart"/>
      <w:r w:rsidRPr="00D216B6">
        <w:rPr>
          <w:lang w:val="fr-FR"/>
        </w:rPr>
        <w:t>darüber</w:t>
      </w:r>
      <w:proofErr w:type="spellEnd"/>
      <w:r w:rsidRPr="00D216B6">
        <w:rPr>
          <w:lang w:val="fr-FR"/>
        </w:rPr>
        <w:t xml:space="preserve"> </w:t>
      </w:r>
      <w:proofErr w:type="spellStart"/>
      <w:r w:rsidRPr="00D216B6">
        <w:rPr>
          <w:lang w:val="fr-FR"/>
        </w:rPr>
        <w:t>hinaus</w:t>
      </w:r>
      <w:proofErr w:type="spellEnd"/>
      <w:r w:rsidRPr="00D216B6">
        <w:rPr>
          <w:lang w:val="fr-FR"/>
        </w:rPr>
        <w:t xml:space="preserve"> an</w:t>
      </w:r>
    </w:p>
    <w:p w:rsidR="00E800CD" w:rsidRDefault="00E800CD" w:rsidP="00E800CD">
      <w:pPr>
        <w:spacing w:line="360" w:lineRule="auto"/>
        <w:rPr>
          <w:lang w:val="de-LU"/>
        </w:rPr>
      </w:pP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 xml:space="preserve">die Regierung </w:t>
      </w:r>
      <w:r>
        <w:rPr>
          <w:lang w:val="de-LU"/>
        </w:rPr>
        <w:t>der Bundesrepublik Deutschlands</w:t>
      </w: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>die Regierung der Franz</w:t>
      </w:r>
      <w:r>
        <w:rPr>
          <w:lang w:val="de-LU"/>
        </w:rPr>
        <w:t>ösischen Republik</w:t>
      </w: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>die Regierung Belgiens</w:t>
      </w: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>die Ko</w:t>
      </w:r>
      <w:r>
        <w:rPr>
          <w:lang w:val="de-LU"/>
        </w:rPr>
        <w:t>mmission der Europäischen Union</w:t>
      </w:r>
    </w:p>
    <w:p w:rsidR="00E800CD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>das Europäische Parlament</w:t>
      </w:r>
    </w:p>
    <w:p w:rsidR="00E800CD" w:rsidRPr="00B01D60" w:rsidRDefault="00E800CD" w:rsidP="00E800CD">
      <w:pPr>
        <w:numPr>
          <w:ilvl w:val="0"/>
          <w:numId w:val="1"/>
        </w:numPr>
        <w:spacing w:line="360" w:lineRule="auto"/>
        <w:rPr>
          <w:lang w:val="de-LU"/>
        </w:rPr>
      </w:pPr>
      <w:r w:rsidRPr="001B1777">
        <w:rPr>
          <w:lang w:val="de-LU"/>
        </w:rPr>
        <w:t>die Abgeordneten des Europäischen Parlamentes aus der Großregion</w:t>
      </w:r>
    </w:p>
    <w:p w:rsidR="00E800CD" w:rsidRPr="001B1777" w:rsidRDefault="00E800CD" w:rsidP="00E800CD">
      <w:pPr>
        <w:spacing w:line="360" w:lineRule="auto"/>
        <w:ind w:left="4956" w:right="-1985" w:firstLine="708"/>
        <w:jc w:val="both"/>
        <w:rPr>
          <w:lang w:val="fr-LU"/>
        </w:rPr>
      </w:pPr>
      <w:r w:rsidRPr="001B1777">
        <w:rPr>
          <w:lang w:val="de-LU"/>
        </w:rPr>
        <w:t xml:space="preserve">Metz, den 1. </w:t>
      </w:r>
      <w:r w:rsidRPr="001B1777">
        <w:rPr>
          <w:lang w:val="fr-LU"/>
        </w:rPr>
        <w:t xml:space="preserve">Juni 2012 </w:t>
      </w:r>
    </w:p>
    <w:p w:rsidR="00E800CD" w:rsidRPr="00D216B6" w:rsidRDefault="00E800CD" w:rsidP="00E800CD">
      <w:pPr>
        <w:spacing w:line="360" w:lineRule="auto"/>
        <w:ind w:right="-1985"/>
        <w:jc w:val="both"/>
        <w:rPr>
          <w:rFonts w:ascii="Arial" w:hAnsi="Arial" w:cs="Arial"/>
          <w:lang w:val="de-LU"/>
        </w:rPr>
      </w:pPr>
    </w:p>
    <w:p w:rsidR="00E800CD" w:rsidRDefault="00E800CD" w:rsidP="00E800CD"/>
    <w:p w:rsidR="00BE64C7" w:rsidRDefault="00BE64C7">
      <w:bookmarkStart w:id="0" w:name="_GoBack"/>
      <w:bookmarkEnd w:id="0"/>
    </w:p>
    <w:sectPr w:rsidR="00BE64C7" w:rsidSect="006F614E">
      <w:headerReference w:type="even" r:id="rId7"/>
      <w:footerReference w:type="default" r:id="rId8"/>
      <w:footerReference w:type="first" r:id="rId9"/>
      <w:pgSz w:w="11906" w:h="16838" w:code="9"/>
      <w:pgMar w:top="799" w:right="1418" w:bottom="1134" w:left="1418" w:header="720" w:footer="6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E" w:rsidRDefault="00E800CD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344B5" wp14:editId="0EBFA9A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14E" w:rsidRDefault="00E800C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800CD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QXnyDmQDAAAc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<v:textbox>
                  <w:txbxContent>
                    <w:p w:rsidR="006F614E" w:rsidRDefault="00E800C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800C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E" w:rsidRDefault="00E800CD" w:rsidP="006F614E">
    <w:pPr>
      <w:pStyle w:val="Pieddepage"/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6F70AE" wp14:editId="2E42B3E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14E" w:rsidRDefault="00E800CD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800CD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DeUdxy&#10;aQMAACMJAAAOAAAAAAAAAAAAAAAAAC4CAABkcnMvZTJvRG9jLnhtbFBLAQItABQABgAIAAAAIQDS&#10;l2sH2wAAAAQBAAAPAAAAAAAAAAAAAAAAAMMFAABkcnMvZG93bnJldi54bWxQSwUGAAAAAAQABADz&#10;AAAAy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6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6F614E" w:rsidRDefault="00E800CD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800CD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E" w:rsidRDefault="00E800CD" w:rsidP="006F614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614E" w:rsidRDefault="00E800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6C2"/>
    <w:multiLevelType w:val="hybridMultilevel"/>
    <w:tmpl w:val="46A6AC9C"/>
    <w:lvl w:ilvl="0" w:tplc="19DEC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8255D"/>
    <w:multiLevelType w:val="hybridMultilevel"/>
    <w:tmpl w:val="1316812E"/>
    <w:lvl w:ilvl="0" w:tplc="140C0015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9FB"/>
    <w:multiLevelType w:val="hybridMultilevel"/>
    <w:tmpl w:val="DCA4FC46"/>
    <w:lvl w:ilvl="0" w:tplc="AB2E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lang w:val="fr-LU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D"/>
    <w:rsid w:val="00BE64C7"/>
    <w:rsid w:val="00E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80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00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E80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0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E800CD"/>
  </w:style>
  <w:style w:type="character" w:styleId="Accentuation">
    <w:name w:val="Emphasis"/>
    <w:uiPriority w:val="20"/>
    <w:qFormat/>
    <w:rsid w:val="00E800CD"/>
    <w:rPr>
      <w:i/>
      <w:iCs/>
    </w:rPr>
  </w:style>
  <w:style w:type="character" w:customStyle="1" w:styleId="viewdoc">
    <w:name w:val="viewdoc"/>
    <w:basedOn w:val="Policepardfaut"/>
    <w:rsid w:val="00E800CD"/>
  </w:style>
  <w:style w:type="character" w:customStyle="1" w:styleId="at4">
    <w:name w:val="a__t4"/>
    <w:basedOn w:val="Policepardfaut"/>
    <w:rsid w:val="00E800CD"/>
  </w:style>
  <w:style w:type="character" w:customStyle="1" w:styleId="st">
    <w:name w:val="st"/>
    <w:basedOn w:val="Policepardfaut"/>
    <w:rsid w:val="00E800CD"/>
  </w:style>
  <w:style w:type="paragraph" w:styleId="Textedebulles">
    <w:name w:val="Balloon Text"/>
    <w:basedOn w:val="Normal"/>
    <w:link w:val="TextedebullesCar"/>
    <w:uiPriority w:val="99"/>
    <w:semiHidden/>
    <w:unhideWhenUsed/>
    <w:rsid w:val="00E80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C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80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00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E80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0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E800CD"/>
  </w:style>
  <w:style w:type="character" w:styleId="Accentuation">
    <w:name w:val="Emphasis"/>
    <w:uiPriority w:val="20"/>
    <w:qFormat/>
    <w:rsid w:val="00E800CD"/>
    <w:rPr>
      <w:i/>
      <w:iCs/>
    </w:rPr>
  </w:style>
  <w:style w:type="character" w:customStyle="1" w:styleId="viewdoc">
    <w:name w:val="viewdoc"/>
    <w:basedOn w:val="Policepardfaut"/>
    <w:rsid w:val="00E800CD"/>
  </w:style>
  <w:style w:type="character" w:customStyle="1" w:styleId="at4">
    <w:name w:val="a__t4"/>
    <w:basedOn w:val="Policepardfaut"/>
    <w:rsid w:val="00E800CD"/>
  </w:style>
  <w:style w:type="character" w:customStyle="1" w:styleId="st">
    <w:name w:val="st"/>
    <w:basedOn w:val="Policepardfaut"/>
    <w:rsid w:val="00E800CD"/>
  </w:style>
  <w:style w:type="paragraph" w:styleId="Textedebulles">
    <w:name w:val="Balloon Text"/>
    <w:basedOn w:val="Normal"/>
    <w:link w:val="TextedebullesCar"/>
    <w:uiPriority w:val="99"/>
    <w:semiHidden/>
    <w:unhideWhenUsed/>
    <w:rsid w:val="00E80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C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Lorraine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Poirot Alicia</dc:creator>
  <cp:lastModifiedBy>Poirot Alicia</cp:lastModifiedBy>
  <cp:revision>1</cp:revision>
  <dcterms:created xsi:type="dcterms:W3CDTF">2012-06-18T15:57:00Z</dcterms:created>
  <dcterms:modified xsi:type="dcterms:W3CDTF">2012-06-18T15:57:00Z</dcterms:modified>
</cp:coreProperties>
</file>